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Black" w:hAnsi="NimbusSansDEE-Black" w:cs="NimbusSansDEE-Black"/>
          <w:color w:val="E60000"/>
          <w:sz w:val="30"/>
          <w:szCs w:val="30"/>
        </w:rPr>
      </w:pPr>
      <w:r>
        <w:rPr>
          <w:rFonts w:ascii="NimbusSansDEE-Black" w:hAnsi="NimbusSansDEE-Black" w:cs="NimbusSansDEE-Black"/>
          <w:color w:val="E60000"/>
          <w:sz w:val="30"/>
          <w:szCs w:val="30"/>
        </w:rPr>
        <w:t>„To nejlepší z české kardiologie“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Black" w:hAnsi="NimbusSansDEE-Black" w:cs="NimbusSansDEE-Black"/>
          <w:color w:val="E60000"/>
          <w:sz w:val="24"/>
          <w:szCs w:val="24"/>
        </w:rPr>
      </w:pPr>
      <w:r>
        <w:rPr>
          <w:rFonts w:ascii="NimbusSansDEE-Black" w:hAnsi="NimbusSansDEE-Black" w:cs="NimbusSansDEE-Black"/>
          <w:color w:val="E60000"/>
          <w:sz w:val="24"/>
          <w:szCs w:val="24"/>
        </w:rPr>
        <w:t>Prezentace nejlepších původních českých prací publikovaných v roce 2009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Black" w:hAnsi="NimbusSansDEE-Black" w:cs="NimbusSansDEE-Black"/>
          <w:color w:val="E60000"/>
          <w:sz w:val="24"/>
          <w:szCs w:val="24"/>
        </w:rPr>
      </w:pPr>
      <w:r>
        <w:rPr>
          <w:rFonts w:ascii="NimbusSansDEE-Black" w:hAnsi="NimbusSansDEE-Black" w:cs="NimbusSansDEE-Black"/>
          <w:color w:val="E60000"/>
          <w:sz w:val="24"/>
          <w:szCs w:val="24"/>
        </w:rPr>
        <w:t>Výroční sjezd ČKS 2010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20"/>
          <w:szCs w:val="20"/>
        </w:rPr>
      </w:pPr>
      <w:r>
        <w:rPr>
          <w:rFonts w:ascii="NimbusSansDEE-Regular" w:hAnsi="NimbusSansDEE-Regular" w:cs="NimbusSansDEE-Regular"/>
          <w:color w:val="000000"/>
          <w:sz w:val="20"/>
          <w:szCs w:val="20"/>
        </w:rPr>
        <w:t>Podmínky: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>Práce musí být publikována v časopise s impakt faktorem &gt; 2,0 během uplynulého roku (2009)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>Práce musí vzniknout na českém pracovišti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>Prvním autorem musí být člen ČKS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 xml:space="preserve">Nemůže se jednat o přehledný článek ani </w:t>
      </w:r>
      <w:proofErr w:type="spellStart"/>
      <w:r>
        <w:rPr>
          <w:rFonts w:ascii="NimbusSansDEE-Light" w:hAnsi="NimbusSansDEE-Light" w:cs="NimbusSansDEE-Light"/>
          <w:color w:val="000000"/>
          <w:sz w:val="19"/>
          <w:szCs w:val="19"/>
        </w:rPr>
        <w:t>editorial</w:t>
      </w:r>
      <w:proofErr w:type="spellEnd"/>
      <w:r>
        <w:rPr>
          <w:rFonts w:ascii="NimbusSansDEE-Light" w:hAnsi="NimbusSansDEE-Light" w:cs="NimbusSansDEE-Light"/>
          <w:color w:val="000000"/>
          <w:sz w:val="19"/>
          <w:szCs w:val="19"/>
        </w:rPr>
        <w:t>, ale musí jít o původní práci, prezentující vlastní výsledky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>Nemůže se jednat ani o práci vzniklou v zahraničí (např. při studijním pobytu českého lékaře)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20"/>
          <w:szCs w:val="20"/>
        </w:rPr>
      </w:pPr>
      <w:r>
        <w:rPr>
          <w:rFonts w:ascii="NimbusSansDEE-Regular" w:hAnsi="NimbusSansDEE-Regular" w:cs="NimbusSansDEE-Regular"/>
          <w:color w:val="000000"/>
          <w:sz w:val="20"/>
          <w:szCs w:val="20"/>
        </w:rPr>
        <w:t>Do bloku byla pozvána všechna česká akreditovaná kardiologická pracoviště.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20"/>
          <w:szCs w:val="20"/>
        </w:rPr>
      </w:pPr>
      <w:r>
        <w:rPr>
          <w:rFonts w:ascii="NimbusSansDEE-Regular" w:hAnsi="NimbusSansDEE-Regular" w:cs="NimbusSansDEE-Regular"/>
          <w:color w:val="000000"/>
          <w:sz w:val="20"/>
          <w:szCs w:val="20"/>
        </w:rPr>
        <w:t>Své publikované práce přihlásila tato pracoviště: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9"/>
          <w:szCs w:val="19"/>
        </w:rPr>
      </w:pPr>
      <w:r>
        <w:rPr>
          <w:rFonts w:ascii="NimbusSansDEE-Light" w:hAnsi="NimbusSansDEE-Light" w:cs="NimbusSansDEE-Light"/>
          <w:color w:val="000000"/>
          <w:sz w:val="19"/>
          <w:szCs w:val="19"/>
        </w:rPr>
        <w:t xml:space="preserve">FN Motol, FN Plzeň, FN Kr. Vinohrady, MN Ústí </w:t>
      </w:r>
      <w:proofErr w:type="spellStart"/>
      <w:proofErr w:type="gramStart"/>
      <w:r>
        <w:rPr>
          <w:rFonts w:ascii="NimbusSansDEE-Light" w:hAnsi="NimbusSansDEE-Light" w:cs="NimbusSansDEE-Light"/>
          <w:color w:val="000000"/>
          <w:sz w:val="19"/>
          <w:szCs w:val="19"/>
        </w:rPr>
        <w:t>n.L.</w:t>
      </w:r>
      <w:proofErr w:type="spellEnd"/>
      <w:proofErr w:type="gramEnd"/>
      <w:r>
        <w:rPr>
          <w:rFonts w:ascii="NimbusSansDEE-Light" w:hAnsi="NimbusSansDEE-Light" w:cs="NimbusSansDEE-Light"/>
          <w:color w:val="000000"/>
          <w:sz w:val="19"/>
          <w:szCs w:val="19"/>
        </w:rPr>
        <w:t>, VFN Praha, IKEM Praha, FN Brno, FN sv. Anny.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Předsedající: </w:t>
      </w:r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Josef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Kautzner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, Aleš Linhart, Petr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Widimský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CD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CD0000"/>
          <w:sz w:val="18"/>
          <w:szCs w:val="18"/>
        </w:rPr>
      </w:pPr>
      <w:r>
        <w:rPr>
          <w:rFonts w:ascii="NimbusSansDEE-Regular" w:hAnsi="NimbusSansDEE-Regular" w:cs="NimbusSansDEE-Regular"/>
          <w:color w:val="CD0000"/>
          <w:sz w:val="18"/>
          <w:szCs w:val="18"/>
        </w:rPr>
        <w:t>Úterý 18. května, sál Praha, 9.30 – 10.30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E6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E60000"/>
          <w:sz w:val="18"/>
          <w:szCs w:val="18"/>
        </w:rPr>
      </w:pPr>
      <w:r>
        <w:rPr>
          <w:rFonts w:ascii="NimbusSansDEE-Regular" w:hAnsi="NimbusSansDEE-Regular" w:cs="NimbusSansDEE-Regular"/>
          <w:color w:val="E60000"/>
          <w:sz w:val="18"/>
          <w:szCs w:val="18"/>
        </w:rPr>
        <w:t>Práce přijaté k prezentaci: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bookmarkStart w:id="0" w:name="_GoBack"/>
      <w:bookmarkEnd w:id="0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1.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Melenovský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V, Al-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Hiti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H, Kazdová L,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Jabor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A, Syrovátka P, Málek I, Kettner J,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Kautzner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J.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Transpulmonary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B-type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natriuretic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peptide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uptake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cyclic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guanosine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monophosphate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release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heart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failure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pulmonary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hypertension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: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effects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sildenafil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>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8"/>
          <w:szCs w:val="18"/>
        </w:rPr>
      </w:pPr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>Coll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  <w:t xml:space="preserve"> 2009; 54: 595-600</w:t>
      </w:r>
      <w:r w:rsidRPr="00952895">
        <w:rPr>
          <w:rFonts w:ascii="NimbusSansDEE-Regular,Italic" w:hAnsi="NimbusSansDEE-Regular,Italic" w:cs="NimbusSansDEE-Regular,Italic"/>
          <w:i/>
          <w:iCs/>
          <w:color w:val="E60000"/>
          <w:sz w:val="18"/>
          <w:szCs w:val="18"/>
        </w:rPr>
        <w:t xml:space="preserve"> </w:t>
      </w:r>
      <w:r>
        <w:rPr>
          <w:rFonts w:ascii="NimbusSansDEE-Regular,Italic" w:hAnsi="NimbusSansDEE-Regular,Italic" w:cs="NimbusSansDEE-Regular,Italic"/>
          <w:i/>
          <w:iCs/>
          <w:color w:val="E60000"/>
          <w:sz w:val="18"/>
          <w:szCs w:val="18"/>
        </w:rPr>
        <w:t>IF = 11,438.</w:t>
      </w:r>
    </w:p>
    <w:p w:rsidR="00764818" w:rsidRDefault="00764818" w:rsidP="00952895">
      <w:pPr>
        <w:rPr>
          <w:rFonts w:ascii="NimbusSansDEE-Light,Italic" w:hAnsi="NimbusSansDEE-Light,Italic" w:cs="NimbusSansDEE-Light,Italic"/>
          <w:i/>
          <w:iCs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2. Kaňovský J., Novotný T., Kadlecová J.,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Gaillyová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R.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A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new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homozygous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mutation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KCNQ1 gene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associated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with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both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Romano -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Ward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incomplete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Jervell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–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Lange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–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Nielsen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syndromes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two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sisters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Heart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Rhythm. 2009 Dec 4. [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Epub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ahead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of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print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] </w:t>
      </w: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4,44.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3. Veselka J, Zemánek D, Hájek P, Malý M,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Adlová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R,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Martinkovičová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L, Tesař D.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Effect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two-day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atorvastatin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pretreatment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on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incidence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periprocedural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myocardial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infarction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following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elective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percutaneous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coronary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intervention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: a single-center,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prospective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,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randomized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study.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Am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Cardiol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. 2009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Sep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1;104(5):630-3. </w:t>
      </w: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3,905.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4.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Moťovská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Z,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Widimský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P, Petr R, Bílkova D,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Marinov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I, Šimek S, Kala P.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Optimal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pretreatment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timing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for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high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load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dosing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(600 mg)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clopidogrel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before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planned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percutaneous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coronary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intervention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for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maximal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antiplatelet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effectivity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–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laboratory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substudy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PRAGUE-8 study.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Int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Cardiol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, 2009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Feb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14. [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Epub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ahead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of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print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] </w:t>
      </w: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3.121.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E6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E6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E60000"/>
          <w:sz w:val="18"/>
          <w:szCs w:val="18"/>
        </w:rPr>
      </w:pPr>
      <w:r>
        <w:rPr>
          <w:rFonts w:ascii="NimbusSansDEE-Regular" w:hAnsi="NimbusSansDEE-Regular" w:cs="NimbusSansDEE-Regular"/>
          <w:color w:val="E60000"/>
          <w:sz w:val="18"/>
          <w:szCs w:val="18"/>
        </w:rPr>
        <w:t>Další významné původní české práce publikované v roce 2009: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3.323.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3.134.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3,037.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</w:pPr>
      <w:r>
        <w:rPr>
          <w:rFonts w:ascii="NimbusSansDEE-Regular,Italic" w:hAnsi="NimbusSansDEE-Regular,Italic" w:cs="NimbusSansDEE-Regular,Italic"/>
          <w:i/>
          <w:iCs/>
          <w:color w:val="E60000"/>
          <w:sz w:val="17"/>
          <w:szCs w:val="17"/>
        </w:rPr>
        <w:t>IF = 2,637.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Skalická B, Kubánek M, Málek I, Vymětalová Y, Hošková L, Podzimková M,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Kautzner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J.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Conversion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to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tacrolimus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atorvastatin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cyclosporine-treated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heart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transplant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recipients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with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dyslipidemia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refractory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to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fluvastatin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>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</w:pPr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Heart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Lung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Transplant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. 2009 Jun;28(6):598-604.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Moťovská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Z,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Widimský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P.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Clopidogrel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before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elective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percutaneous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coronary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intervenction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>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</w:pPr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Clin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Pharmacol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, 2009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Sep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29. [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Epub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ahead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of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print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]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r>
        <w:rPr>
          <w:rFonts w:ascii="NimbusSansDEE-Regular" w:hAnsi="NimbusSansDEE-Regular" w:cs="NimbusSansDEE-Regular"/>
          <w:color w:val="000000"/>
          <w:sz w:val="18"/>
          <w:szCs w:val="18"/>
        </w:rPr>
        <w:t>Marušková M, Gregor P, Bartůněk J, Tintěra J, Pěnička M.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Myocardial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viability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and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cardiac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dyssynchrony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as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strong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predictors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of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perioperative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mortality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high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-risk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patients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with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ischemic</w:t>
      </w:r>
      <w:proofErr w:type="spellEnd"/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cardiomyopathy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having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coronary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artery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bypass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surgery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>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</w:pP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The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Journal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of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Thoracic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and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Cardiovascular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Surgery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2009 Jul;138(1):62-8.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Epub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2009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Feb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7.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Regular" w:hAnsi="NimbusSansDEE-Regular" w:cs="NimbusSansDEE-Regular"/>
          <w:color w:val="000000"/>
          <w:sz w:val="18"/>
          <w:szCs w:val="18"/>
        </w:rPr>
      </w:pP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Holaj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R, Zelinka T, Wichterle D, Petrák O,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Štrauch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B, Vránková A,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Majtan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B, Spáčil J, Malík J, </w:t>
      </w:r>
      <w:proofErr w:type="spellStart"/>
      <w:r>
        <w:rPr>
          <w:rFonts w:ascii="NimbusSansDEE-Regular" w:hAnsi="NimbusSansDEE-Regular" w:cs="NimbusSansDEE-Regular"/>
          <w:color w:val="000000"/>
          <w:sz w:val="18"/>
          <w:szCs w:val="18"/>
        </w:rPr>
        <w:t>Widimský</w:t>
      </w:r>
      <w:proofErr w:type="spellEnd"/>
      <w:r>
        <w:rPr>
          <w:rFonts w:ascii="NimbusSansDEE-Regular" w:hAnsi="NimbusSansDEE-Regular" w:cs="NimbusSansDEE-Regular"/>
          <w:color w:val="000000"/>
          <w:sz w:val="18"/>
          <w:szCs w:val="18"/>
        </w:rPr>
        <w:t xml:space="preserve"> J jr.</w:t>
      </w:r>
    </w:p>
    <w:p w:rsidR="00952895" w:rsidRDefault="00952895" w:rsidP="00952895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lastRenderedPageBreak/>
        <w:t>Increased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carotid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intima – media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thickness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patients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with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pheochromocytoma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in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comparison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to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essential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 xml:space="preserve"> </w:t>
      </w:r>
      <w:proofErr w:type="spellStart"/>
      <w:r>
        <w:rPr>
          <w:rFonts w:ascii="NimbusSansDEE-Light" w:hAnsi="NimbusSansDEE-Light" w:cs="NimbusSansDEE-Light"/>
          <w:color w:val="000000"/>
          <w:sz w:val="18"/>
          <w:szCs w:val="18"/>
        </w:rPr>
        <w:t>hypertension</w:t>
      </w:r>
      <w:proofErr w:type="spellEnd"/>
      <w:r>
        <w:rPr>
          <w:rFonts w:ascii="NimbusSansDEE-Light" w:hAnsi="NimbusSansDEE-Light" w:cs="NimbusSansDEE-Light"/>
          <w:color w:val="000000"/>
          <w:sz w:val="18"/>
          <w:szCs w:val="18"/>
        </w:rPr>
        <w:t>.</w:t>
      </w:r>
    </w:p>
    <w:p w:rsidR="00952895" w:rsidRDefault="00952895" w:rsidP="00952895"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J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Human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>Hypertension</w:t>
      </w:r>
      <w:proofErr w:type="spellEnd"/>
      <w:r>
        <w:rPr>
          <w:rFonts w:ascii="NimbusSansDEE-Light,Italic" w:hAnsi="NimbusSansDEE-Light,Italic" w:cs="NimbusSansDEE-Light,Italic"/>
          <w:i/>
          <w:iCs/>
          <w:color w:val="000000"/>
          <w:sz w:val="17"/>
          <w:szCs w:val="17"/>
        </w:rPr>
        <w:t xml:space="preserve"> 2009, May 23, 5, 350-8.</w:t>
      </w:r>
    </w:p>
    <w:sectPr w:rsidR="009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imbusSansDEE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DE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DE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DEE-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DEE-Regular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5"/>
    <w:rsid w:val="00764818"/>
    <w:rsid w:val="009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9FF3-AFC5-40A7-9FCF-AB738D2C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2014-05-02T10:24:00Z</dcterms:created>
  <dcterms:modified xsi:type="dcterms:W3CDTF">2014-05-02T10:27:00Z</dcterms:modified>
</cp:coreProperties>
</file>