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8E9" w:rsidRPr="000C78E9" w:rsidRDefault="000C78E9" w:rsidP="000C78E9">
      <w:pPr>
        <w:rPr>
          <w:rFonts w:cstheme="minorHAnsi"/>
          <w:b/>
          <w:color w:val="1F4E79" w:themeColor="accent1" w:themeShade="80"/>
          <w:sz w:val="28"/>
          <w:szCs w:val="28"/>
          <w:lang w:val="en" w:eastAsia="sv-SE"/>
        </w:rPr>
      </w:pPr>
      <w:r w:rsidRPr="000C78E9">
        <w:rPr>
          <w:rFonts w:cstheme="minorHAnsi"/>
          <w:b/>
          <w:color w:val="1F4E79" w:themeColor="accent1" w:themeShade="80"/>
          <w:sz w:val="28"/>
          <w:szCs w:val="28"/>
          <w:lang w:val="en" w:eastAsia="sv-SE"/>
        </w:rPr>
        <w:t>Alzheimer's, All-Cause Dementia Linked to Trans Fats</w:t>
      </w:r>
    </w:p>
    <w:p w:rsidR="000C78E9" w:rsidRPr="000C78E9" w:rsidRDefault="000C78E9" w:rsidP="000C78E9">
      <w:pPr>
        <w:rPr>
          <w:rFonts w:cstheme="minorHAnsi"/>
          <w:i/>
          <w:lang w:val="en" w:eastAsia="sv-SE"/>
        </w:rPr>
      </w:pPr>
      <w:hyperlink r:id="rId5" w:tgtFrame="_blank" w:history="1">
        <w:r w:rsidRPr="000C78E9">
          <w:rPr>
            <w:rFonts w:cstheme="minorHAnsi"/>
            <w:i/>
            <w:iCs/>
            <w:lang w:val="en" w:eastAsia="sv-SE"/>
          </w:rPr>
          <w:t>Neurology</w:t>
        </w:r>
      </w:hyperlink>
      <w:r w:rsidRPr="000C78E9">
        <w:rPr>
          <w:rFonts w:cstheme="minorHAnsi"/>
          <w:i/>
          <w:lang w:val="en" w:eastAsia="sv-SE"/>
        </w:rPr>
        <w:t xml:space="preserve"> 2019; DOI: 10.1212/WNL.0000000000008464</w:t>
      </w:r>
    </w:p>
    <w:p w:rsidR="000C78E9" w:rsidRPr="000C78E9" w:rsidRDefault="000C78E9" w:rsidP="000C78E9">
      <w:pPr>
        <w:rPr>
          <w:rFonts w:cstheme="minorHAnsi"/>
          <w:lang w:val="en" w:eastAsia="sv-SE"/>
        </w:rPr>
      </w:pPr>
      <w:r>
        <w:rPr>
          <w:rFonts w:cstheme="minorHAnsi"/>
          <w:lang w:val="en" w:eastAsia="sv-SE"/>
        </w:rPr>
        <w:t>H</w:t>
      </w:r>
      <w:r w:rsidRPr="000C78E9">
        <w:rPr>
          <w:rFonts w:cstheme="minorHAnsi"/>
          <w:lang w:val="en" w:eastAsia="sv-SE"/>
        </w:rPr>
        <w:t xml:space="preserve">igher serum levels of </w:t>
      </w:r>
      <w:proofErr w:type="gramStart"/>
      <w:r w:rsidRPr="000C78E9">
        <w:rPr>
          <w:rFonts w:cstheme="minorHAnsi"/>
          <w:lang w:val="en" w:eastAsia="sv-SE"/>
        </w:rPr>
        <w:t>trans</w:t>
      </w:r>
      <w:proofErr w:type="gramEnd"/>
      <w:r w:rsidRPr="000C78E9">
        <w:rPr>
          <w:rFonts w:cstheme="minorHAnsi"/>
          <w:lang w:val="en" w:eastAsia="sv-SE"/>
        </w:rPr>
        <w:t xml:space="preserve"> fatty acids were associated with a greater risk of developing all-cause dementia and Alzheimer's disease in old age. Cognitively normal adults with higher levels of serum </w:t>
      </w:r>
      <w:proofErr w:type="spellStart"/>
      <w:r w:rsidRPr="000C78E9">
        <w:rPr>
          <w:rFonts w:cstheme="minorHAnsi"/>
          <w:lang w:val="en" w:eastAsia="sv-SE"/>
        </w:rPr>
        <w:t>elaidic</w:t>
      </w:r>
      <w:proofErr w:type="spellEnd"/>
      <w:r w:rsidRPr="000C78E9">
        <w:rPr>
          <w:rFonts w:cstheme="minorHAnsi"/>
          <w:lang w:val="en" w:eastAsia="sv-SE"/>
        </w:rPr>
        <w:t xml:space="preserve"> acid -- an isomer of oleic acid formed by partial hydrogenation of vegetable oils -- in their blood were 50% to 75% more likely to develop Alzheimer's or dementia years later compared with people with lower levels.</w:t>
      </w:r>
    </w:p>
    <w:p w:rsidR="000C78E9" w:rsidRPr="000C78E9" w:rsidRDefault="000C78E9" w:rsidP="000C78E9">
      <w:pPr>
        <w:rPr>
          <w:rFonts w:cstheme="minorHAnsi"/>
          <w:lang w:val="en" w:eastAsia="sv-SE"/>
        </w:rPr>
      </w:pPr>
      <w:r w:rsidRPr="000C78E9">
        <w:rPr>
          <w:rFonts w:cstheme="minorHAnsi"/>
          <w:lang w:val="en" w:eastAsia="sv-SE"/>
        </w:rPr>
        <w:t xml:space="preserve">Researchers drew their conclusions from an analysis of an ongoing population-based prospective cohort study that has been conducted in the town of </w:t>
      </w:r>
      <w:proofErr w:type="spellStart"/>
      <w:r w:rsidRPr="000C78E9">
        <w:rPr>
          <w:rFonts w:cstheme="minorHAnsi"/>
          <w:lang w:val="en" w:eastAsia="sv-SE"/>
        </w:rPr>
        <w:t>Hisayama</w:t>
      </w:r>
      <w:proofErr w:type="spellEnd"/>
      <w:r w:rsidRPr="000C78E9">
        <w:rPr>
          <w:rFonts w:cstheme="minorHAnsi"/>
          <w:lang w:val="en" w:eastAsia="sv-SE"/>
        </w:rPr>
        <w:t xml:space="preserve">, Japan since 1961 (the </w:t>
      </w:r>
      <w:proofErr w:type="spellStart"/>
      <w:r w:rsidRPr="000C78E9">
        <w:rPr>
          <w:rFonts w:cstheme="minorHAnsi"/>
          <w:lang w:val="en" w:eastAsia="sv-SE"/>
        </w:rPr>
        <w:t>Hisayama</w:t>
      </w:r>
      <w:proofErr w:type="spellEnd"/>
      <w:r w:rsidRPr="000C78E9">
        <w:rPr>
          <w:rFonts w:cstheme="minorHAnsi"/>
          <w:lang w:val="en" w:eastAsia="sv-SE"/>
        </w:rPr>
        <w:t xml:space="preserve"> </w:t>
      </w:r>
      <w:hyperlink r:id="rId6" w:tgtFrame="_blank" w:history="1">
        <w:r w:rsidRPr="000C78E9">
          <w:rPr>
            <w:rFonts w:cstheme="minorHAnsi"/>
            <w:color w:val="0484D9"/>
            <w:lang w:val="en" w:eastAsia="sv-SE"/>
          </w:rPr>
          <w:t>Study</w:t>
        </w:r>
      </w:hyperlink>
      <w:r w:rsidRPr="000C78E9">
        <w:rPr>
          <w:rFonts w:cstheme="minorHAnsi"/>
          <w:lang w:val="en" w:eastAsia="sv-SE"/>
        </w:rPr>
        <w:t xml:space="preserve">). A total of 1,628 Japanese community residents ages 60 and older without dementia at baseline were observed from 2002 to 2012 (median 10.3 years, interquartile range [IQR] 7.2-10.4 years, follow-up rate 99.8%). Researchers used </w:t>
      </w:r>
      <w:hyperlink r:id="rId7" w:tgtFrame="_blank" w:history="1">
        <w:r w:rsidRPr="000C78E9">
          <w:rPr>
            <w:rFonts w:cstheme="minorHAnsi"/>
            <w:color w:val="0484D9"/>
            <w:lang w:val="en" w:eastAsia="sv-SE"/>
          </w:rPr>
          <w:t>DSM-III-R</w:t>
        </w:r>
      </w:hyperlink>
      <w:r w:rsidRPr="000C78E9">
        <w:rPr>
          <w:rFonts w:cstheme="minorHAnsi"/>
          <w:lang w:val="en" w:eastAsia="sv-SE"/>
        </w:rPr>
        <w:t xml:space="preserve"> guidelines to define participants with dementia, </w:t>
      </w:r>
      <w:hyperlink r:id="rId8" w:tgtFrame="_blank" w:history="1">
        <w:r w:rsidRPr="000C78E9">
          <w:rPr>
            <w:rFonts w:cstheme="minorHAnsi"/>
            <w:color w:val="0484D9"/>
            <w:lang w:val="en" w:eastAsia="sv-SE"/>
          </w:rPr>
          <w:t>NINCDS‐ADRDA</w:t>
        </w:r>
      </w:hyperlink>
      <w:r w:rsidRPr="000C78E9">
        <w:rPr>
          <w:rFonts w:cstheme="minorHAnsi"/>
          <w:lang w:val="en" w:eastAsia="sv-SE"/>
        </w:rPr>
        <w:t xml:space="preserve"> criteria to identify Alzheimer's disease, and </w:t>
      </w:r>
      <w:hyperlink r:id="rId9" w:tgtFrame="_blank" w:history="1">
        <w:r w:rsidRPr="000C78E9">
          <w:rPr>
            <w:rFonts w:cstheme="minorHAnsi"/>
            <w:color w:val="0484D9"/>
            <w:lang w:val="en" w:eastAsia="sv-SE"/>
          </w:rPr>
          <w:t>NINDS-AIREN</w:t>
        </w:r>
      </w:hyperlink>
      <w:r w:rsidRPr="000C78E9">
        <w:rPr>
          <w:rFonts w:cstheme="minorHAnsi"/>
          <w:lang w:val="en" w:eastAsia="sv-SE"/>
        </w:rPr>
        <w:t xml:space="preserve"> criteria to diagnose vascular dementia.</w:t>
      </w:r>
    </w:p>
    <w:p w:rsidR="000C78E9" w:rsidRPr="000C78E9" w:rsidRDefault="000C78E9" w:rsidP="000C78E9">
      <w:pPr>
        <w:rPr>
          <w:rFonts w:cstheme="minorHAnsi"/>
          <w:lang w:val="en" w:eastAsia="sv-SE"/>
        </w:rPr>
      </w:pPr>
      <w:r w:rsidRPr="000C78E9">
        <w:rPr>
          <w:rFonts w:cstheme="minorHAnsi"/>
          <w:lang w:val="en" w:eastAsia="sv-SE"/>
        </w:rPr>
        <w:t>During the follow-up period, 377 participants developed all-cause dementia, 247 developed Alzheimer's disease, and 102 developed vascular dementia.</w:t>
      </w:r>
      <w:r>
        <w:rPr>
          <w:rFonts w:cstheme="minorHAnsi"/>
          <w:lang w:val="en" w:eastAsia="sv-SE"/>
        </w:rPr>
        <w:t xml:space="preserve"> </w:t>
      </w:r>
      <w:r w:rsidRPr="000C78E9">
        <w:rPr>
          <w:rFonts w:cstheme="minorHAnsi"/>
          <w:lang w:val="en" w:eastAsia="sv-SE"/>
        </w:rPr>
        <w:t xml:space="preserve">Serum </w:t>
      </w:r>
      <w:proofErr w:type="spellStart"/>
      <w:r w:rsidRPr="000C78E9">
        <w:rPr>
          <w:rFonts w:cstheme="minorHAnsi"/>
          <w:lang w:val="en" w:eastAsia="sv-SE"/>
        </w:rPr>
        <w:t>elaidic</w:t>
      </w:r>
      <w:proofErr w:type="spellEnd"/>
      <w:r w:rsidRPr="000C78E9">
        <w:rPr>
          <w:rFonts w:cstheme="minorHAnsi"/>
          <w:lang w:val="en" w:eastAsia="sv-SE"/>
        </w:rPr>
        <w:t xml:space="preserve"> acid concentrations, as measured by gas chromatography/mass spectrometry (10 </w:t>
      </w:r>
      <w:proofErr w:type="spellStart"/>
      <w:r w:rsidRPr="000C78E9">
        <w:rPr>
          <w:rFonts w:cstheme="minorHAnsi"/>
          <w:lang w:val="en" w:eastAsia="sv-SE"/>
        </w:rPr>
        <w:t>μmol</w:t>
      </w:r>
      <w:proofErr w:type="spellEnd"/>
      <w:r w:rsidRPr="000C78E9">
        <w:rPr>
          <w:rFonts w:cstheme="minorHAnsi"/>
          <w:lang w:val="en" w:eastAsia="sv-SE"/>
        </w:rPr>
        <w:t xml:space="preserve">/L of </w:t>
      </w:r>
      <w:proofErr w:type="spellStart"/>
      <w:r w:rsidRPr="000C78E9">
        <w:rPr>
          <w:rFonts w:cstheme="minorHAnsi"/>
          <w:lang w:val="en" w:eastAsia="sv-SE"/>
        </w:rPr>
        <w:t>elaidic</w:t>
      </w:r>
      <w:proofErr w:type="spellEnd"/>
      <w:r w:rsidRPr="000C78E9">
        <w:rPr>
          <w:rFonts w:cstheme="minorHAnsi"/>
          <w:lang w:val="en" w:eastAsia="sv-SE"/>
        </w:rPr>
        <w:t xml:space="preserve"> acid standard), were categorized into quartiles.</w:t>
      </w:r>
    </w:p>
    <w:p w:rsidR="000C78E9" w:rsidRPr="000C78E9" w:rsidRDefault="000C78E9" w:rsidP="000C78E9">
      <w:pPr>
        <w:rPr>
          <w:rFonts w:cstheme="minorHAnsi"/>
          <w:lang w:val="en" w:eastAsia="sv-SE"/>
        </w:rPr>
      </w:pPr>
      <w:r w:rsidRPr="000C78E9">
        <w:rPr>
          <w:rFonts w:cstheme="minorHAnsi"/>
          <w:lang w:val="en" w:eastAsia="sv-SE"/>
        </w:rPr>
        <w:t xml:space="preserve">Overall, the median serum </w:t>
      </w:r>
      <w:proofErr w:type="spellStart"/>
      <w:r w:rsidRPr="000C78E9">
        <w:rPr>
          <w:rFonts w:cstheme="minorHAnsi"/>
          <w:lang w:val="en" w:eastAsia="sv-SE"/>
        </w:rPr>
        <w:t>elaidic</w:t>
      </w:r>
      <w:proofErr w:type="spellEnd"/>
      <w:r w:rsidRPr="000C78E9">
        <w:rPr>
          <w:rFonts w:cstheme="minorHAnsi"/>
          <w:lang w:val="en" w:eastAsia="sv-SE"/>
        </w:rPr>
        <w:t xml:space="preserve"> acid level was 9.40 </w:t>
      </w:r>
      <w:proofErr w:type="spellStart"/>
      <w:r w:rsidRPr="000C78E9">
        <w:rPr>
          <w:rFonts w:cstheme="minorHAnsi"/>
          <w:lang w:val="en" w:eastAsia="sv-SE"/>
        </w:rPr>
        <w:t>μmol</w:t>
      </w:r>
      <w:proofErr w:type="spellEnd"/>
      <w:r w:rsidRPr="000C78E9">
        <w:rPr>
          <w:rFonts w:cstheme="minorHAnsi"/>
          <w:lang w:val="en" w:eastAsia="sv-SE"/>
        </w:rPr>
        <w:t xml:space="preserve">/L (IQR 6.97-13.71 </w:t>
      </w:r>
      <w:proofErr w:type="spellStart"/>
      <w:r w:rsidRPr="000C78E9">
        <w:rPr>
          <w:rFonts w:cstheme="minorHAnsi"/>
          <w:lang w:val="en" w:eastAsia="sv-SE"/>
        </w:rPr>
        <w:t>μmol</w:t>
      </w:r>
      <w:proofErr w:type="spellEnd"/>
      <w:r w:rsidRPr="000C78E9">
        <w:rPr>
          <w:rFonts w:cstheme="minorHAnsi"/>
          <w:lang w:val="en" w:eastAsia="sv-SE"/>
        </w:rPr>
        <w:t xml:space="preserve">/L) for men and 10.90 </w:t>
      </w:r>
      <w:proofErr w:type="spellStart"/>
      <w:r w:rsidRPr="000C78E9">
        <w:rPr>
          <w:rFonts w:cstheme="minorHAnsi"/>
          <w:lang w:val="en" w:eastAsia="sv-SE"/>
        </w:rPr>
        <w:t>μmol</w:t>
      </w:r>
      <w:proofErr w:type="spellEnd"/>
      <w:r w:rsidRPr="000C78E9">
        <w:rPr>
          <w:rFonts w:cstheme="minorHAnsi"/>
          <w:lang w:val="en" w:eastAsia="sv-SE"/>
        </w:rPr>
        <w:t xml:space="preserve">/L (IQR 8.23-15.14 </w:t>
      </w:r>
      <w:proofErr w:type="spellStart"/>
      <w:r w:rsidRPr="000C78E9">
        <w:rPr>
          <w:rFonts w:cstheme="minorHAnsi"/>
          <w:lang w:val="en" w:eastAsia="sv-SE"/>
        </w:rPr>
        <w:t>μmol</w:t>
      </w:r>
      <w:proofErr w:type="spellEnd"/>
      <w:r w:rsidRPr="000C78E9">
        <w:rPr>
          <w:rFonts w:cstheme="minorHAnsi"/>
          <w:lang w:val="en" w:eastAsia="sv-SE"/>
        </w:rPr>
        <w:t xml:space="preserve">/L) for women. Median values (ranges) for the highest quartile, Q4, and lowest quartile, Q1, were 18.83 (14.51-64.37) </w:t>
      </w:r>
      <w:proofErr w:type="spellStart"/>
      <w:r w:rsidRPr="000C78E9">
        <w:rPr>
          <w:rFonts w:cstheme="minorHAnsi"/>
          <w:lang w:val="en" w:eastAsia="sv-SE"/>
        </w:rPr>
        <w:t>μmol</w:t>
      </w:r>
      <w:proofErr w:type="spellEnd"/>
      <w:r w:rsidRPr="000C78E9">
        <w:rPr>
          <w:rFonts w:cstheme="minorHAnsi"/>
          <w:lang w:val="en" w:eastAsia="sv-SE"/>
        </w:rPr>
        <w:t xml:space="preserve">/L and 6.24 (2.64-7.69) </w:t>
      </w:r>
      <w:proofErr w:type="spellStart"/>
      <w:r w:rsidRPr="000C78E9">
        <w:rPr>
          <w:rFonts w:cstheme="minorHAnsi"/>
          <w:lang w:val="en" w:eastAsia="sv-SE"/>
        </w:rPr>
        <w:t>μmol</w:t>
      </w:r>
      <w:proofErr w:type="spellEnd"/>
      <w:r w:rsidRPr="000C78E9">
        <w:rPr>
          <w:rFonts w:cstheme="minorHAnsi"/>
          <w:lang w:val="en" w:eastAsia="sv-SE"/>
        </w:rPr>
        <w:t>/L, respectively.</w:t>
      </w:r>
    </w:p>
    <w:p w:rsidR="000C78E9" w:rsidRPr="000C78E9" w:rsidRDefault="000C78E9" w:rsidP="000C78E9">
      <w:pPr>
        <w:rPr>
          <w:rFonts w:cstheme="minorHAnsi"/>
          <w:lang w:val="en" w:eastAsia="sv-SE"/>
        </w:rPr>
      </w:pPr>
      <w:r w:rsidRPr="000C78E9">
        <w:rPr>
          <w:rFonts w:cstheme="minorHAnsi"/>
          <w:lang w:val="en" w:eastAsia="sv-SE"/>
        </w:rPr>
        <w:t xml:space="preserve">Participants with higher serum </w:t>
      </w:r>
      <w:proofErr w:type="spellStart"/>
      <w:r w:rsidRPr="000C78E9">
        <w:rPr>
          <w:rFonts w:cstheme="minorHAnsi"/>
          <w:lang w:val="en" w:eastAsia="sv-SE"/>
        </w:rPr>
        <w:t>elaidic</w:t>
      </w:r>
      <w:proofErr w:type="spellEnd"/>
      <w:r w:rsidRPr="000C78E9">
        <w:rPr>
          <w:rFonts w:cstheme="minorHAnsi"/>
          <w:lang w:val="en" w:eastAsia="sv-SE"/>
        </w:rPr>
        <w:t xml:space="preserve"> acid levels were on average younger and less likely to be men, current drinkers, or physically active, according to the researchers. While total energy intake decreased with higher quartiles of serum </w:t>
      </w:r>
      <w:proofErr w:type="spellStart"/>
      <w:r w:rsidRPr="000C78E9">
        <w:rPr>
          <w:rFonts w:cstheme="minorHAnsi"/>
          <w:lang w:val="en" w:eastAsia="sv-SE"/>
        </w:rPr>
        <w:t>elaidic</w:t>
      </w:r>
      <w:proofErr w:type="spellEnd"/>
      <w:r w:rsidRPr="000C78E9">
        <w:rPr>
          <w:rFonts w:cstheme="minorHAnsi"/>
          <w:lang w:val="en" w:eastAsia="sv-SE"/>
        </w:rPr>
        <w:t xml:space="preserve"> acid, systolic and diastolic blood pressure, serum total cholesterol, serum triglycerides, body mass index, and dietary intake of saturated fat increased with higher levels of this </w:t>
      </w:r>
      <w:proofErr w:type="gramStart"/>
      <w:r w:rsidRPr="000C78E9">
        <w:rPr>
          <w:rFonts w:cstheme="minorHAnsi"/>
          <w:lang w:val="en" w:eastAsia="sv-SE"/>
        </w:rPr>
        <w:t>trans</w:t>
      </w:r>
      <w:proofErr w:type="gramEnd"/>
      <w:r w:rsidRPr="000C78E9">
        <w:rPr>
          <w:rFonts w:cstheme="minorHAnsi"/>
          <w:lang w:val="en" w:eastAsia="sv-SE"/>
        </w:rPr>
        <w:t xml:space="preserve"> fatty acid.</w:t>
      </w:r>
    </w:p>
    <w:p w:rsidR="000C78E9" w:rsidRPr="000C78E9" w:rsidRDefault="000C78E9" w:rsidP="000C78E9">
      <w:pPr>
        <w:rPr>
          <w:rFonts w:cstheme="minorHAnsi"/>
          <w:lang w:val="en" w:eastAsia="sv-SE"/>
        </w:rPr>
      </w:pPr>
      <w:r w:rsidRPr="000C78E9">
        <w:rPr>
          <w:rFonts w:cstheme="minorHAnsi"/>
          <w:lang w:val="en" w:eastAsia="sv-SE"/>
        </w:rPr>
        <w:t xml:space="preserve">Researchers performed brain autopsies on 237 of the 369 people who died during the follow-up period (101, 81, 76, and 111 in Q1, Q2, Q3, and Q4, respectively); in these cases, the researchers used both clinical and </w:t>
      </w:r>
      <w:proofErr w:type="spellStart"/>
      <w:r w:rsidRPr="000C78E9">
        <w:rPr>
          <w:rFonts w:cstheme="minorHAnsi"/>
          <w:lang w:val="en" w:eastAsia="sv-SE"/>
        </w:rPr>
        <w:t>neuropathologic</w:t>
      </w:r>
      <w:proofErr w:type="spellEnd"/>
      <w:r w:rsidRPr="000C78E9">
        <w:rPr>
          <w:rFonts w:cstheme="minorHAnsi"/>
          <w:lang w:val="en" w:eastAsia="sv-SE"/>
        </w:rPr>
        <w:t xml:space="preserve"> information to make a definitive diagnosis.</w:t>
      </w:r>
    </w:p>
    <w:p w:rsidR="000C78E9" w:rsidRPr="000C78E9" w:rsidRDefault="000C78E9" w:rsidP="000C78E9">
      <w:pPr>
        <w:rPr>
          <w:rFonts w:cstheme="minorHAnsi"/>
          <w:lang w:val="en" w:eastAsia="sv-SE"/>
        </w:rPr>
      </w:pPr>
      <w:r w:rsidRPr="000C78E9">
        <w:rPr>
          <w:rFonts w:cstheme="minorHAnsi"/>
          <w:lang w:val="en" w:eastAsia="sv-SE"/>
        </w:rPr>
        <w:t xml:space="preserve">Using a similar mathematical approach, researchers calculated Alzheimer's disease incidence rates per 1,000 person-years for the highest (Q4) and lowest (Q1) serum </w:t>
      </w:r>
      <w:proofErr w:type="spellStart"/>
      <w:r w:rsidRPr="000C78E9">
        <w:rPr>
          <w:rFonts w:cstheme="minorHAnsi"/>
          <w:lang w:val="en" w:eastAsia="sv-SE"/>
        </w:rPr>
        <w:t>elaidic</w:t>
      </w:r>
      <w:proofErr w:type="spellEnd"/>
      <w:r w:rsidRPr="000C78E9">
        <w:rPr>
          <w:rFonts w:cstheme="minorHAnsi"/>
          <w:lang w:val="en" w:eastAsia="sv-SE"/>
        </w:rPr>
        <w:t xml:space="preserve"> acid levels of 18.2 and 13.1, respectively.</w:t>
      </w:r>
    </w:p>
    <w:p w:rsidR="000C78E9" w:rsidRPr="000C78E9" w:rsidRDefault="000C78E9" w:rsidP="000C78E9">
      <w:pPr>
        <w:rPr>
          <w:rFonts w:cstheme="minorHAnsi"/>
          <w:lang w:val="en" w:eastAsia="sv-SE"/>
        </w:rPr>
      </w:pPr>
      <w:r w:rsidRPr="000C78E9">
        <w:rPr>
          <w:rFonts w:cstheme="minorHAnsi"/>
          <w:lang w:val="en" w:eastAsia="sv-SE"/>
        </w:rPr>
        <w:t xml:space="preserve">Following multivariable adjustments, the highest </w:t>
      </w:r>
      <w:proofErr w:type="spellStart"/>
      <w:r w:rsidRPr="000C78E9">
        <w:rPr>
          <w:rFonts w:cstheme="minorHAnsi"/>
          <w:lang w:val="en" w:eastAsia="sv-SE"/>
        </w:rPr>
        <w:t>elaidic</w:t>
      </w:r>
      <w:proofErr w:type="spellEnd"/>
      <w:r w:rsidRPr="000C78E9">
        <w:rPr>
          <w:rFonts w:cstheme="minorHAnsi"/>
          <w:lang w:val="en" w:eastAsia="sv-SE"/>
        </w:rPr>
        <w:t xml:space="preserve"> acid group had an incident dementia HR of 1.52 (95% CI 1.10-2.12, </w:t>
      </w:r>
      <w:r w:rsidRPr="000C78E9">
        <w:rPr>
          <w:rFonts w:cstheme="minorHAnsi"/>
          <w:i/>
          <w:iCs/>
          <w:lang w:val="en" w:eastAsia="sv-SE"/>
        </w:rPr>
        <w:t>P</w:t>
      </w:r>
      <w:r w:rsidRPr="000C78E9">
        <w:rPr>
          <w:rFonts w:cstheme="minorHAnsi"/>
          <w:lang w:val="en" w:eastAsia="sv-SE"/>
        </w:rPr>
        <w:t xml:space="preserve">=0.01) and the second-highest group had an HR of 1.74 (95% CI 1.28-2.37, </w:t>
      </w:r>
      <w:r w:rsidRPr="000C78E9">
        <w:rPr>
          <w:rFonts w:cstheme="minorHAnsi"/>
          <w:i/>
          <w:iCs/>
          <w:lang w:val="en" w:eastAsia="sv-SE"/>
        </w:rPr>
        <w:t>P</w:t>
      </w:r>
      <w:r w:rsidRPr="000C78E9">
        <w:rPr>
          <w:rFonts w:cstheme="minorHAnsi"/>
          <w:lang w:val="en" w:eastAsia="sv-SE"/>
        </w:rPr>
        <w:t>&lt;0.001).</w:t>
      </w:r>
    </w:p>
    <w:p w:rsidR="000C78E9" w:rsidRPr="000C78E9" w:rsidRDefault="000C78E9" w:rsidP="000C78E9">
      <w:pPr>
        <w:rPr>
          <w:rFonts w:cstheme="minorHAnsi"/>
          <w:lang w:val="en" w:eastAsia="sv-SE"/>
        </w:rPr>
      </w:pPr>
      <w:r w:rsidRPr="000C78E9">
        <w:rPr>
          <w:rFonts w:cstheme="minorHAnsi"/>
          <w:lang w:val="en" w:eastAsia="sv-SE"/>
        </w:rPr>
        <w:t xml:space="preserve">Taken together, the results showed that higher serum </w:t>
      </w:r>
      <w:proofErr w:type="spellStart"/>
      <w:r w:rsidRPr="000C78E9">
        <w:rPr>
          <w:rFonts w:cstheme="minorHAnsi"/>
          <w:lang w:val="en" w:eastAsia="sv-SE"/>
        </w:rPr>
        <w:t>elaidic</w:t>
      </w:r>
      <w:proofErr w:type="spellEnd"/>
      <w:r w:rsidRPr="000C78E9">
        <w:rPr>
          <w:rFonts w:cstheme="minorHAnsi"/>
          <w:lang w:val="en" w:eastAsia="sv-SE"/>
        </w:rPr>
        <w:t xml:space="preserve"> acid levels were significantly associated with greater risk of developing all-cause dementia (</w:t>
      </w:r>
      <w:r w:rsidRPr="000C78E9">
        <w:rPr>
          <w:rFonts w:cstheme="minorHAnsi"/>
          <w:i/>
          <w:iCs/>
          <w:lang w:val="en" w:eastAsia="sv-SE"/>
        </w:rPr>
        <w:t>P</w:t>
      </w:r>
      <w:r w:rsidRPr="000C78E9">
        <w:rPr>
          <w:rFonts w:cstheme="minorHAnsi"/>
          <w:lang w:val="en" w:eastAsia="sv-SE"/>
        </w:rPr>
        <w:t xml:space="preserve"> for trend 0.003) and Alzheimer's disease (</w:t>
      </w:r>
      <w:r w:rsidRPr="000C78E9">
        <w:rPr>
          <w:rFonts w:cstheme="minorHAnsi"/>
          <w:i/>
          <w:iCs/>
          <w:lang w:val="en" w:eastAsia="sv-SE"/>
        </w:rPr>
        <w:t>P</w:t>
      </w:r>
      <w:r w:rsidRPr="000C78E9">
        <w:rPr>
          <w:rFonts w:cstheme="minorHAnsi"/>
          <w:lang w:val="en" w:eastAsia="sv-SE"/>
        </w:rPr>
        <w:t xml:space="preserve"> for trend 0.02) after adjustment for traditional risk factors. No significant associations were found between serum </w:t>
      </w:r>
      <w:proofErr w:type="spellStart"/>
      <w:r w:rsidRPr="000C78E9">
        <w:rPr>
          <w:rFonts w:cstheme="minorHAnsi"/>
          <w:lang w:val="en" w:eastAsia="sv-SE"/>
        </w:rPr>
        <w:t>elaidic</w:t>
      </w:r>
      <w:proofErr w:type="spellEnd"/>
      <w:r w:rsidRPr="000C78E9">
        <w:rPr>
          <w:rFonts w:cstheme="minorHAnsi"/>
          <w:lang w:val="en" w:eastAsia="sv-SE"/>
        </w:rPr>
        <w:t xml:space="preserve"> acid levels and vascular dementia.</w:t>
      </w:r>
    </w:p>
    <w:p w:rsidR="000C78E9" w:rsidRPr="000C78E9" w:rsidRDefault="000C78E9">
      <w:pPr>
        <w:rPr>
          <w:rFonts w:cstheme="minorHAnsi"/>
          <w:lang w:val="en"/>
        </w:rPr>
      </w:pPr>
      <w:r w:rsidRPr="000C78E9">
        <w:rPr>
          <w:rFonts w:cstheme="minorHAnsi"/>
          <w:b/>
          <w:bCs/>
          <w:lang w:val="en" w:eastAsia="sv-SE"/>
        </w:rPr>
        <w:t>Source Reference:</w:t>
      </w:r>
      <w:r w:rsidRPr="000C78E9">
        <w:rPr>
          <w:rFonts w:cstheme="minorHAnsi"/>
          <w:lang w:val="en" w:eastAsia="sv-SE"/>
        </w:rPr>
        <w:t xml:space="preserve"> </w:t>
      </w:r>
      <w:hyperlink r:id="rId10" w:tgtFrame="_blank" w:history="1">
        <w:r w:rsidRPr="000C78E9">
          <w:rPr>
            <w:rFonts w:cstheme="minorHAnsi"/>
            <w:i/>
            <w:iCs/>
            <w:color w:val="0484D9"/>
            <w:lang w:val="en" w:eastAsia="sv-SE"/>
          </w:rPr>
          <w:t>Neurology</w:t>
        </w:r>
      </w:hyperlink>
      <w:r w:rsidRPr="000C78E9">
        <w:rPr>
          <w:rFonts w:cstheme="minorHAnsi"/>
          <w:lang w:val="en" w:eastAsia="sv-SE"/>
        </w:rPr>
        <w:t xml:space="preserve"> 2019; DOI: 10.1212/WNL.0000000000008464</w:t>
      </w:r>
      <w:bookmarkStart w:id="0" w:name="_GoBack"/>
      <w:bookmarkEnd w:id="0"/>
    </w:p>
    <w:sectPr w:rsidR="000C78E9" w:rsidRPr="000C7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86E02"/>
    <w:multiLevelType w:val="multilevel"/>
    <w:tmpl w:val="1CAE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80739"/>
    <w:multiLevelType w:val="multilevel"/>
    <w:tmpl w:val="6E6C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8E9"/>
    <w:rsid w:val="000C78E9"/>
    <w:rsid w:val="00521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E3E81-BBDF-4DED-9EB2-64CEE8C1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0C78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0C78E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4">
    <w:name w:val="heading 4"/>
    <w:basedOn w:val="Normal"/>
    <w:link w:val="Rubrik4Char"/>
    <w:uiPriority w:val="9"/>
    <w:qFormat/>
    <w:rsid w:val="000C78E9"/>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C78E9"/>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0C78E9"/>
    <w:rPr>
      <w:rFonts w:ascii="Times New Roman" w:eastAsia="Times New Roman" w:hAnsi="Times New Roman" w:cs="Times New Roman"/>
      <w:b/>
      <w:bCs/>
      <w:sz w:val="36"/>
      <w:szCs w:val="36"/>
      <w:lang w:eastAsia="sv-SE"/>
    </w:rPr>
  </w:style>
  <w:style w:type="character" w:customStyle="1" w:styleId="Rubrik4Char">
    <w:name w:val="Rubrik 4 Char"/>
    <w:basedOn w:val="Standardstycketeckensnitt"/>
    <w:link w:val="Rubrik4"/>
    <w:uiPriority w:val="9"/>
    <w:rsid w:val="000C78E9"/>
    <w:rPr>
      <w:rFonts w:ascii="Times New Roman" w:eastAsia="Times New Roman" w:hAnsi="Times New Roman" w:cs="Times New Roman"/>
      <w:b/>
      <w:bCs/>
      <w:sz w:val="24"/>
      <w:szCs w:val="24"/>
      <w:lang w:eastAsia="sv-SE"/>
    </w:rPr>
  </w:style>
  <w:style w:type="character" w:styleId="Hyperlnk">
    <w:name w:val="Hyperlink"/>
    <w:basedOn w:val="Standardstycketeckensnitt"/>
    <w:uiPriority w:val="99"/>
    <w:semiHidden/>
    <w:unhideWhenUsed/>
    <w:rsid w:val="000C78E9"/>
    <w:rPr>
      <w:strike w:val="0"/>
      <w:dstrike w:val="0"/>
      <w:color w:val="0484D9"/>
      <w:u w:val="none"/>
      <w:effect w:val="none"/>
    </w:rPr>
  </w:style>
  <w:style w:type="paragraph" w:customStyle="1" w:styleId="mpt-content-byline">
    <w:name w:val="mpt-content-byline"/>
    <w:basedOn w:val="Normal"/>
    <w:rsid w:val="000C78E9"/>
    <w:pPr>
      <w:spacing w:after="0" w:line="210" w:lineRule="atLeast"/>
    </w:pPr>
    <w:rPr>
      <w:rFonts w:ascii="Times New Roman" w:eastAsia="Times New Roman" w:hAnsi="Times New Roman" w:cs="Times New Roman"/>
      <w:sz w:val="21"/>
      <w:szCs w:val="21"/>
      <w:lang w:eastAsia="sv-SE"/>
    </w:rPr>
  </w:style>
  <w:style w:type="character" w:customStyle="1" w:styleId="author-name-no-email">
    <w:name w:val="author-name-no-email"/>
    <w:basedOn w:val="Standardstycketeckensnitt"/>
    <w:rsid w:val="000C78E9"/>
  </w:style>
  <w:style w:type="character" w:customStyle="1" w:styleId="screen-readers-only1">
    <w:name w:val="screen-readers-only1"/>
    <w:basedOn w:val="Standardstycketeckensnitt"/>
    <w:rsid w:val="000C78E9"/>
    <w:rPr>
      <w:bdr w:val="none" w:sz="0" w:space="0" w:color="auto" w:frame="1"/>
    </w:rPr>
  </w:style>
  <w:style w:type="character" w:styleId="Stark">
    <w:name w:val="Strong"/>
    <w:basedOn w:val="Standardstycketeckensnitt"/>
    <w:uiPriority w:val="22"/>
    <w:qFormat/>
    <w:rsid w:val="000C78E9"/>
    <w:rPr>
      <w:b/>
      <w:bCs/>
    </w:rPr>
  </w:style>
  <w:style w:type="character" w:styleId="Betoning">
    <w:name w:val="Emphasis"/>
    <w:basedOn w:val="Standardstycketeckensnitt"/>
    <w:uiPriority w:val="20"/>
    <w:qFormat/>
    <w:rsid w:val="000C78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475203">
      <w:bodyDiv w:val="1"/>
      <w:marLeft w:val="0"/>
      <w:marRight w:val="0"/>
      <w:marTop w:val="0"/>
      <w:marBottom w:val="0"/>
      <w:divBdr>
        <w:top w:val="none" w:sz="0" w:space="0" w:color="auto"/>
        <w:left w:val="none" w:sz="0" w:space="0" w:color="auto"/>
        <w:bottom w:val="none" w:sz="0" w:space="0" w:color="auto"/>
        <w:right w:val="none" w:sz="0" w:space="0" w:color="auto"/>
      </w:divBdr>
      <w:divsChild>
        <w:div w:id="1468400032">
          <w:marLeft w:val="0"/>
          <w:marRight w:val="0"/>
          <w:marTop w:val="0"/>
          <w:marBottom w:val="0"/>
          <w:divBdr>
            <w:top w:val="none" w:sz="0" w:space="0" w:color="auto"/>
            <w:left w:val="none" w:sz="0" w:space="0" w:color="auto"/>
            <w:bottom w:val="none" w:sz="0" w:space="0" w:color="auto"/>
            <w:right w:val="none" w:sz="0" w:space="0" w:color="auto"/>
          </w:divBdr>
          <w:divsChild>
            <w:div w:id="2075160668">
              <w:marLeft w:val="0"/>
              <w:marRight w:val="0"/>
              <w:marTop w:val="0"/>
              <w:marBottom w:val="0"/>
              <w:divBdr>
                <w:top w:val="none" w:sz="0" w:space="0" w:color="auto"/>
                <w:left w:val="none" w:sz="0" w:space="0" w:color="auto"/>
                <w:bottom w:val="none" w:sz="0" w:space="0" w:color="auto"/>
                <w:right w:val="none" w:sz="0" w:space="0" w:color="auto"/>
              </w:divBdr>
              <w:divsChild>
                <w:div w:id="444233753">
                  <w:marLeft w:val="0"/>
                  <w:marRight w:val="0"/>
                  <w:marTop w:val="0"/>
                  <w:marBottom w:val="0"/>
                  <w:divBdr>
                    <w:top w:val="none" w:sz="0" w:space="0" w:color="auto"/>
                    <w:left w:val="none" w:sz="0" w:space="0" w:color="auto"/>
                    <w:bottom w:val="single" w:sz="6" w:space="0" w:color="BBBBBB"/>
                    <w:right w:val="none" w:sz="0" w:space="0" w:color="auto"/>
                  </w:divBdr>
                </w:div>
              </w:divsChild>
            </w:div>
            <w:div w:id="2083671301">
              <w:marLeft w:val="0"/>
              <w:marRight w:val="0"/>
              <w:marTop w:val="0"/>
              <w:marBottom w:val="0"/>
              <w:divBdr>
                <w:top w:val="none" w:sz="0" w:space="0" w:color="auto"/>
                <w:left w:val="none" w:sz="0" w:space="0" w:color="auto"/>
                <w:bottom w:val="none" w:sz="0" w:space="0" w:color="auto"/>
                <w:right w:val="none" w:sz="0" w:space="0" w:color="auto"/>
              </w:divBdr>
              <w:divsChild>
                <w:div w:id="2065518440">
                  <w:marLeft w:val="0"/>
                  <w:marRight w:val="0"/>
                  <w:marTop w:val="0"/>
                  <w:marBottom w:val="0"/>
                  <w:divBdr>
                    <w:top w:val="none" w:sz="0" w:space="0" w:color="auto"/>
                    <w:left w:val="none" w:sz="0" w:space="0" w:color="auto"/>
                    <w:bottom w:val="none" w:sz="0" w:space="0" w:color="auto"/>
                    <w:right w:val="none" w:sz="0" w:space="0" w:color="auto"/>
                  </w:divBdr>
                  <w:divsChild>
                    <w:div w:id="367485772">
                      <w:marLeft w:val="0"/>
                      <w:marRight w:val="0"/>
                      <w:marTop w:val="0"/>
                      <w:marBottom w:val="0"/>
                      <w:divBdr>
                        <w:top w:val="none" w:sz="0" w:space="0" w:color="auto"/>
                        <w:left w:val="none" w:sz="0" w:space="0" w:color="auto"/>
                        <w:bottom w:val="none" w:sz="0" w:space="0" w:color="auto"/>
                        <w:right w:val="none" w:sz="0" w:space="0" w:color="auto"/>
                      </w:divBdr>
                    </w:div>
                    <w:div w:id="134879757">
                      <w:marLeft w:val="0"/>
                      <w:marRight w:val="0"/>
                      <w:marTop w:val="0"/>
                      <w:marBottom w:val="0"/>
                      <w:divBdr>
                        <w:top w:val="none" w:sz="0" w:space="0" w:color="auto"/>
                        <w:left w:val="none" w:sz="0" w:space="0" w:color="auto"/>
                        <w:bottom w:val="none" w:sz="0" w:space="0" w:color="auto"/>
                        <w:right w:val="none" w:sz="0" w:space="0" w:color="auto"/>
                      </w:divBdr>
                    </w:div>
                  </w:divsChild>
                </w:div>
                <w:div w:id="1119297068">
                  <w:marLeft w:val="0"/>
                  <w:marRight w:val="0"/>
                  <w:marTop w:val="450"/>
                  <w:marBottom w:val="0"/>
                  <w:divBdr>
                    <w:top w:val="none" w:sz="0" w:space="0" w:color="auto"/>
                    <w:left w:val="none" w:sz="0" w:space="0" w:color="auto"/>
                    <w:bottom w:val="none" w:sz="0" w:space="0" w:color="auto"/>
                    <w:right w:val="none" w:sz="0" w:space="0" w:color="auto"/>
                  </w:divBdr>
                  <w:divsChild>
                    <w:div w:id="614869169">
                      <w:marLeft w:val="-900"/>
                      <w:marRight w:val="0"/>
                      <w:marTop w:val="0"/>
                      <w:marBottom w:val="0"/>
                      <w:divBdr>
                        <w:top w:val="none" w:sz="0" w:space="0" w:color="auto"/>
                        <w:left w:val="none" w:sz="0" w:space="0" w:color="auto"/>
                        <w:bottom w:val="none" w:sz="0" w:space="0" w:color="auto"/>
                        <w:right w:val="none" w:sz="0" w:space="0" w:color="auto"/>
                      </w:divBdr>
                      <w:divsChild>
                        <w:div w:id="2050493517">
                          <w:marLeft w:val="0"/>
                          <w:marRight w:val="0"/>
                          <w:marTop w:val="0"/>
                          <w:marBottom w:val="300"/>
                          <w:divBdr>
                            <w:top w:val="none" w:sz="0" w:space="0" w:color="auto"/>
                            <w:left w:val="none" w:sz="0" w:space="0" w:color="auto"/>
                            <w:bottom w:val="none" w:sz="0" w:space="0" w:color="auto"/>
                            <w:right w:val="none" w:sz="0" w:space="0" w:color="auto"/>
                          </w:divBdr>
                        </w:div>
                        <w:div w:id="2025277910">
                          <w:marLeft w:val="0"/>
                          <w:marRight w:val="0"/>
                          <w:marTop w:val="0"/>
                          <w:marBottom w:val="300"/>
                          <w:divBdr>
                            <w:top w:val="none" w:sz="0" w:space="0" w:color="auto"/>
                            <w:left w:val="none" w:sz="0" w:space="0" w:color="auto"/>
                            <w:bottom w:val="none" w:sz="0" w:space="0" w:color="auto"/>
                            <w:right w:val="none" w:sz="0" w:space="0" w:color="auto"/>
                          </w:divBdr>
                        </w:div>
                        <w:div w:id="772017210">
                          <w:marLeft w:val="0"/>
                          <w:marRight w:val="0"/>
                          <w:marTop w:val="0"/>
                          <w:marBottom w:val="300"/>
                          <w:divBdr>
                            <w:top w:val="none" w:sz="0" w:space="0" w:color="auto"/>
                            <w:left w:val="none" w:sz="0" w:space="0" w:color="auto"/>
                            <w:bottom w:val="none" w:sz="0" w:space="0" w:color="auto"/>
                            <w:right w:val="none" w:sz="0" w:space="0" w:color="auto"/>
                          </w:divBdr>
                        </w:div>
                        <w:div w:id="437025318">
                          <w:marLeft w:val="0"/>
                          <w:marRight w:val="0"/>
                          <w:marTop w:val="0"/>
                          <w:marBottom w:val="300"/>
                          <w:divBdr>
                            <w:top w:val="none" w:sz="0" w:space="0" w:color="auto"/>
                            <w:left w:val="none" w:sz="0" w:space="0" w:color="auto"/>
                            <w:bottom w:val="none" w:sz="0" w:space="0" w:color="auto"/>
                            <w:right w:val="none" w:sz="0" w:space="0" w:color="auto"/>
                          </w:divBdr>
                        </w:div>
                      </w:divsChild>
                    </w:div>
                    <w:div w:id="2059232582">
                      <w:marLeft w:val="0"/>
                      <w:marRight w:val="0"/>
                      <w:marTop w:val="450"/>
                      <w:marBottom w:val="0"/>
                      <w:divBdr>
                        <w:top w:val="none" w:sz="0" w:space="0" w:color="auto"/>
                        <w:left w:val="none" w:sz="0" w:space="0" w:color="auto"/>
                        <w:bottom w:val="none" w:sz="0" w:space="0" w:color="auto"/>
                        <w:right w:val="none" w:sz="0" w:space="0" w:color="auto"/>
                      </w:divBdr>
                      <w:divsChild>
                        <w:div w:id="172818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neurology.org/content/34/7/939" TargetMode="External"/><Relationship Id="rId3" Type="http://schemas.openxmlformats.org/officeDocument/2006/relationships/settings" Target="settings.xml"/><Relationship Id="rId7" Type="http://schemas.openxmlformats.org/officeDocument/2006/relationships/hyperlink" Target="https://n.neurology.org/content/neurology/56/9/1143.ful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6192972/" TargetMode="External"/><Relationship Id="rId11" Type="http://schemas.openxmlformats.org/officeDocument/2006/relationships/fontTable" Target="fontTable.xml"/><Relationship Id="rId5" Type="http://schemas.openxmlformats.org/officeDocument/2006/relationships/hyperlink" Target="https://n.neurology.org/content/early/2019/10/23/WNL.0000000000008464" TargetMode="External"/><Relationship Id="rId10" Type="http://schemas.openxmlformats.org/officeDocument/2006/relationships/hyperlink" Target="https://n.neurology.org/content/early/2019/10/23/WNL.0000000000008464" TargetMode="External"/><Relationship Id="rId4" Type="http://schemas.openxmlformats.org/officeDocument/2006/relationships/webSettings" Target="webSettings.xml"/><Relationship Id="rId9" Type="http://schemas.openxmlformats.org/officeDocument/2006/relationships/hyperlink" Target="https://n.neurology.org/content/43/2/25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603</Words>
  <Characters>3197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Landstinget i Kalmar län</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Perk</dc:creator>
  <cp:keywords/>
  <dc:description/>
  <cp:lastModifiedBy>Joep Perk</cp:lastModifiedBy>
  <cp:revision>1</cp:revision>
  <dcterms:created xsi:type="dcterms:W3CDTF">2020-01-21T16:01:00Z</dcterms:created>
  <dcterms:modified xsi:type="dcterms:W3CDTF">2020-01-21T16:06:00Z</dcterms:modified>
</cp:coreProperties>
</file>